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IA 31 vom 1. Februar 1985</w:t>
      </w:r>
    </w:p>
    <w:p>
      <w:r>
        <w:t>Bundesgericht (BGE), 1985-02-01, DE</w:t>
      </w:r>
    </w:p>
    <w:p>
      <w:r>
        <w:rPr>
          <w:b/>
        </w:rPr>
        <w:t xml:space="preserve">Quelle: </w:t>
      </w:r>
      <w:r>
        <w:t>https://mcp.opencaselaw.ch/entscheid/bge_111 IA 31</w:t>
      </w:r>
    </w:p>
    <w:p>
      <w:r>
        <w:t>FR: BGE 111 IA 31 du 1 février 1985</w:t>
      </w:r>
    </w:p>
    <w:p>
      <w:r>
        <w:t>IT: BGE 111 IA 31 del 1 febbraio 1985</w:t>
      </w:r>
    </w:p>
    <w:p>
      <w:pPr>
        <w:pStyle w:val="Heading2"/>
      </w:pPr>
      <w:r>
        <w:t>Regeste</w:t>
      </w:r>
    </w:p>
    <w:p>
      <w:r>
        <w:t>Regeste Art. 31 und 32quater BV: Alkoholverkaufspatent; gesetzliche Grundlage. Aufgrund des Legalitätsprinzips ist nicht erforderlich, dass sich die für die Beurteilung der Bedürfnisfrage massgebenden Kriterien aus einer Rechtsverordnung ergeben. Es genügt, wenn sich die kantonalen Behörden in dieser Hinsicht auf eine gleichmässige Praxis stützen.</w:t>
      </w:r>
    </w:p>
    <w:p>
      <w:pPr>
        <w:pStyle w:val="Heading2"/>
      </w:pPr>
      <w:r>
        <w:t>Erwägungen</w:t>
      </w:r>
    </w:p>
    <w:p>
      <w:r>
        <w:rPr>
          <w:b/>
        </w:rPr>
        <w:t>E. 4</w:t>
      </w:r>
    </w:p>
    <w:p>
      <w:r>
        <w:t>Die Beschwerdeführerin rügt zunächst, die Patentverweigerung und die damit verbundene Beschränkung der Handels- und Gewerbefreiheit entbehre einer ausreichenden gesetzlichen Grundlage, da die von den Behörden angewandte Normzahl nicht dem Gesetz entnommen werden könne. Wie das Bundesgericht in einem ähnlichen Fall aus dem Kanton Genf erkannt hat, muss die gesetzliche Bedürfnisklausel den behördlichen Interpretationsrahmen soweit abstecken, dass der Zweck der Bestimmung, d.h. die vernünftige Begrenzung der Alkoholverkaufsstellen aus gesundheitspolitischen Gründen, in geeigneter Weise erreicht werden kann (nicht publiziertes Urteil vom 18. Juni 1982 i.S. Chaubert). Indem § 56 GGG den Regierungsrat ausdrücklich verpflichtet, die Zahl und die Verteilung bestehender Läden zu berücksichtigen, wird diesen Anforderungen Genüge getan, selbst wenn der Behörde ein erheblicher Beurteilungsspielraum verbleibt. Unter dem Gesichtswinkel des Legalitätsprinzips ist ferner auch nicht zu beanstanden, dass sich die im Einzelfall massgebenden Kriterien nicht aus einer Rechtsverordnung sondern aus einer gleichmässigen und den besonderen Umständen Rechnung tragenden Praxis der Behörden ergeben. Auf diese Weise erfährt die Handels- und Gewerbefreiheit keine zusätzliche Einschränkung, welche sich mit dem von der Verfassung vorgegebenen Gesetzeszweck nicht vereinbaren liesse. In dieser BGE 111 Ia 31 S. 33 Beziehung ist nur erforderlich, dass weder die Auswahl noch die Anwendung der ausschlaggebenden Kriterien in willkürlicher, sachfremder Weise erfolgt. Wie es sich damit im vorliegenden Fall verhält, wird noch zu prüfen sein. Nach dem Gesagten steht jedenfalls das Vorhandensein einer ausreichenden gesetzlichen Grundlage ausser Frage.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